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8"/>
        <w:jc w:val="center"/>
        <w:rPr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Предварительная </w:t>
      </w:r>
      <w:r>
        <w:rPr>
          <w:rFonts w:eastAsia="PT Astra Serif" w:cs="PT Astra Serif" w:ascii="PT Astra Serif" w:hAnsi="PT Astra Serif"/>
          <w:b/>
          <w:bCs/>
          <w:sz w:val="26"/>
          <w:szCs w:val="26"/>
        </w:rPr>
        <w:t>проверка от 14</w:t>
      </w:r>
      <w:r>
        <w:rPr>
          <w:rFonts w:eastAsia="PT Astra Serif" w:cs="PT Astra Serif" w:ascii="PT Astra Serif" w:hAnsi="PT Astra Serif"/>
          <w:b/>
          <w:bCs/>
          <w:color w:val="000000"/>
          <w:sz w:val="26"/>
          <w:szCs w:val="26"/>
        </w:rPr>
        <w:t>.11.2025</w:t>
      </w:r>
      <w:r>
        <w:rPr>
          <w:rFonts w:eastAsia="PT Astra Serif" w:cs="PT Astra Serif" w:ascii="PT Astra Serif" w:hAnsi="PT Astra Serif"/>
          <w:b/>
          <w:bCs/>
          <w:sz w:val="26"/>
          <w:szCs w:val="26"/>
        </w:rPr>
        <w:t xml:space="preserve"> КПТР г. Когалым </w:t>
      </w:r>
    </w:p>
    <w:p>
      <w:pPr>
        <w:pStyle w:val="Style18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Style18"/>
        <w:jc w:val="center"/>
        <w:rPr/>
      </w:pPr>
      <w:r>
        <w:rPr>
          <w:rFonts w:eastAsia="PT Astra Serif" w:cs="PT Astra Serif" w:ascii="PT Astra Serif" w:hAnsi="PT Astra Serif"/>
          <w:b/>
          <w:bCs/>
          <w:color w:val="000000"/>
          <w:kern w:val="0"/>
          <w:sz w:val="28"/>
          <w:szCs w:val="28"/>
          <w:lang w:val="ru-RU" w:eastAsia="zh-CN" w:bidi="ar-SA"/>
        </w:rPr>
        <w:t xml:space="preserve">КК </w:t>
      </w:r>
      <w:r>
        <w:rPr>
          <w:rFonts w:eastAsia="PT Astra Serif" w:cs="PT Astra Serif" w:ascii="PT Astra Serif" w:hAnsi="PT Astra Serif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eastAsia="zh-CN" w:bidi="ar-SA"/>
        </w:rPr>
        <w:t>86:17:0010301</w:t>
      </w:r>
      <w:r>
        <w:rPr>
          <w:rFonts w:eastAsia="PT Astra Serif" w:cs="PT Astra Serif" w:ascii="PT Astra Serif" w:hAnsi="PT Astra Serif"/>
          <w:b/>
          <w:bCs/>
          <w:color w:val="000000"/>
          <w:kern w:val="0"/>
          <w:sz w:val="28"/>
          <w:szCs w:val="28"/>
          <w:lang w:val="ru-RU" w:eastAsia="zh-CN" w:bidi="ar-SA"/>
        </w:rPr>
        <w:t xml:space="preserve"> (</w:t>
      </w:r>
      <w:hyperlink r:id="rId2" w:anchor="/books/kuvd/record/%D0%9A%D0%A3%D0%92%D0%94-001%2F2025-64170969" w:tgtFrame="_blank">
        <w:r>
          <w:rPr>
            <w:rStyle w:val="Hyperlink"/>
            <w:rFonts w:eastAsia="PT Astra Serif" w:cs="PT Astra Serif" w:ascii="PT Astra Serif" w:hAnsi="PT Astra Serif"/>
            <w:b/>
            <w:bCs/>
            <w:i w:val="false"/>
            <w:caps w:val="false"/>
            <w:smallCaps w:val="false"/>
            <w:strike w:val="false"/>
            <w:dstrike w:val="false"/>
            <w:color w:val="000000"/>
            <w:spacing w:val="0"/>
            <w:kern w:val="0"/>
            <w:sz w:val="28"/>
            <w:szCs w:val="28"/>
            <w:u w:val="none"/>
            <w:effect w:val="none"/>
            <w:shd w:fill="auto" w:val="clear"/>
            <w:lang w:val="ru-RU" w:eastAsia="zh-CN" w:bidi="ar-SA"/>
          </w:rPr>
          <w:t>КУВД-001/2025-64170969</w:t>
        </w:r>
      </w:hyperlink>
      <w:r>
        <w:rPr>
          <w:rFonts w:eastAsia="PT Astra Serif" w:cs="PT Astra Serif" w:ascii="PT Astra Serif" w:hAnsi="PT Astra Serif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eastAsia="zh-CN" w:bidi="ar-SA"/>
        </w:rPr>
        <w:t xml:space="preserve">, №OfSite-2025-11-13-995120 </w:t>
      </w:r>
      <w:r>
        <w:rPr>
          <w:rFonts w:eastAsia="PT Astra Serif" w:cs="PT Astra Serif" w:ascii="PT Astra Serif" w:hAnsi="PT Astra Serif"/>
          <w:b/>
          <w:bCs/>
          <w:color w:val="000000"/>
          <w:kern w:val="0"/>
          <w:sz w:val="28"/>
          <w:szCs w:val="28"/>
          <w:lang w:val="ru-RU" w:eastAsia="zh-CN" w:bidi="ar-SA"/>
        </w:rPr>
        <w:t>от 13.11.2025)</w:t>
      </w:r>
    </w:p>
    <w:p>
      <w:pPr>
        <w:pStyle w:val="Style18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Style18"/>
        <w:jc w:val="center"/>
        <w:rPr>
          <w:rFonts w:ascii="PT Astra Serif" w:hAnsi="PT Astra Serif"/>
          <w:sz w:val="28"/>
          <w:szCs w:val="28"/>
        </w:rPr>
      </w:pPr>
      <w:r>
        <w:rPr>
          <w:rFonts w:eastAsia="PT Astra Serif" w:cs="PT Astra Serif" w:ascii="PT Astra Serif" w:hAnsi="PT Astra Serif"/>
          <w:b w:val="false"/>
          <w:bCs w:val="false"/>
          <w:color w:val="000000"/>
          <w:kern w:val="0"/>
          <w:sz w:val="28"/>
          <w:szCs w:val="28"/>
          <w:lang w:val="ru-RU" w:eastAsia="zh-CN" w:bidi="ar-SA"/>
        </w:rPr>
        <w:t>В ЕГРН содержатся сведения о 70 ОКС и 1 ЗУ без границ.</w:t>
      </w:r>
    </w:p>
    <w:p>
      <w:pPr>
        <w:pStyle w:val="Style18"/>
        <w:jc w:val="center"/>
        <w:rPr>
          <w:rFonts w:ascii="PT Astra Serif" w:hAnsi="PT Astra Serif"/>
          <w:sz w:val="28"/>
          <w:szCs w:val="28"/>
        </w:rPr>
      </w:pPr>
      <w:r>
        <w:rPr>
          <w:rFonts w:eastAsia="PT Astra Serif" w:cs="PT Astra Serif" w:ascii="PT Astra Serif" w:hAnsi="PT Astra Serif"/>
          <w:b w:val="false"/>
          <w:bCs w:val="false"/>
          <w:color w:val="000000"/>
          <w:kern w:val="0"/>
          <w:sz w:val="28"/>
          <w:szCs w:val="28"/>
          <w:lang w:val="ru-RU" w:eastAsia="zh-CN" w:bidi="ar-SA"/>
        </w:rPr>
        <w:t>В представленном КПТР вносятся сведения о границах 63 ОКС и 1 ЗУ.</w:t>
      </w:r>
    </w:p>
    <w:p>
      <w:pPr>
        <w:pStyle w:val="Style1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 включено в КПТР 7 ОКС, в пояснительной записке обосновано.</w:t>
      </w:r>
    </w:p>
    <w:p>
      <w:pPr>
        <w:pStyle w:val="Style18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</w:r>
    </w:p>
    <w:p>
      <w:pPr>
        <w:pStyle w:val="Style18"/>
        <w:jc w:val="center"/>
        <w:rPr>
          <w:rFonts w:ascii="PT Astra Serif" w:hAnsi="PT Astra Serif" w:eastAsia="PT Astra Serif" w:cs="PT Astra Serif"/>
          <w:b/>
          <w:bCs/>
          <w:color w:val="auto"/>
          <w:kern w:val="0"/>
          <w:sz w:val="26"/>
          <w:szCs w:val="26"/>
          <w:lang w:val="ru-RU" w:eastAsia="zh-CN" w:bidi="ar-SA"/>
        </w:rPr>
      </w:pPr>
      <w:r>
        <w:rPr>
          <w:rFonts w:eastAsia="PT Astra Serif" w:cs="PT Astra Serif" w:ascii="PT Astra Serif" w:hAnsi="PT Astra Serif"/>
          <w:b/>
          <w:bCs/>
          <w:color w:val="auto"/>
          <w:kern w:val="0"/>
          <w:sz w:val="26"/>
          <w:szCs w:val="26"/>
          <w:lang w:val="ru-RU" w:eastAsia="zh-CN" w:bidi="ar-SA"/>
        </w:rPr>
        <w:t>Выявленные замечания к содержанию КПТР:</w:t>
      </w:r>
    </w:p>
    <w:p>
      <w:pPr>
        <w:pStyle w:val="Style18"/>
        <w:jc w:val="center"/>
        <w:rPr>
          <w:rFonts w:ascii="PT Astra Serif" w:hAnsi="PT Astra Serif" w:eastAsia="PT Astra Serif" w:cs="PT Astra Serif"/>
          <w:b/>
          <w:bCs/>
          <w:color w:val="auto"/>
          <w:kern w:val="0"/>
          <w:sz w:val="26"/>
          <w:szCs w:val="26"/>
          <w:lang w:val="ru-RU" w:eastAsia="zh-CN" w:bidi="ar-SA"/>
        </w:rPr>
      </w:pPr>
      <w:r>
        <w:rPr>
          <w:rFonts w:eastAsia="PT Astra Serif" w:cs="PT Astra Serif" w:ascii="PT Astra Serif" w:hAnsi="PT Astra Serif"/>
          <w:b/>
          <w:bCs/>
          <w:color w:val="auto"/>
          <w:kern w:val="0"/>
          <w:sz w:val="26"/>
          <w:szCs w:val="26"/>
          <w:lang w:val="ru-RU" w:eastAsia="zh-CN" w:bidi="ar-SA"/>
        </w:rPr>
      </w:r>
    </w:p>
    <w:p>
      <w:pPr>
        <w:pStyle w:val="Style18"/>
        <w:jc w:val="center"/>
        <w:rPr>
          <w:rFonts w:ascii="PT Astra Serif" w:hAnsi="PT Astra Serif" w:eastAsia="PT Astra Serif" w:cs="PT Astra Serif"/>
          <w:b/>
          <w:bCs/>
          <w:color w:val="auto"/>
          <w:kern w:val="0"/>
          <w:sz w:val="26"/>
          <w:szCs w:val="26"/>
          <w:lang w:val="ru-RU" w:eastAsia="zh-CN" w:bidi="ar-SA"/>
        </w:rPr>
      </w:pPr>
      <w:r>
        <w:rPr>
          <w:rFonts w:eastAsia="Tinos" w:cs="Tinos" w:ascii="Tinos" w:hAnsi="Tinos"/>
          <w:b/>
          <w:bCs/>
          <w:color w:val="auto"/>
          <w:kern w:val="0"/>
          <w:sz w:val="24"/>
          <w:szCs w:val="24"/>
          <w:lang w:val="ru-RU" w:eastAsia="zh-CN" w:bidi="ar-SA"/>
        </w:rPr>
        <w:t>Общие замечания</w:t>
      </w:r>
      <w:r>
        <w:rPr>
          <w:rFonts w:eastAsia="PT Astra Serif" w:cs="PT Astra Serif" w:ascii="PT Astra Serif" w:hAnsi="PT Astra Serif"/>
          <w:b/>
          <w:bCs/>
          <w:color w:val="auto"/>
          <w:kern w:val="0"/>
          <w:sz w:val="26"/>
          <w:szCs w:val="26"/>
          <w:lang w:val="ru-RU" w:eastAsia="zh-CN" w:bidi="ar-SA"/>
        </w:rPr>
        <w:t>:</w:t>
      </w:r>
    </w:p>
    <w:p>
      <w:pPr>
        <w:pStyle w:val="BodyText"/>
        <w:jc w:val="both"/>
        <w:rPr>
          <w:color w:val="000000"/>
        </w:rPr>
      </w:pPr>
      <w:r>
        <w:rPr>
          <w:rFonts w:eastAsia="PT Astra Serif" w:cs="Times New Roman" w:ascii="PT Astra Serif" w:hAnsi="PT Astra Serif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lang w:val="ru-RU" w:eastAsia="zh-CN" w:bidi="ar-SA"/>
        </w:rPr>
        <w:t xml:space="preserve">Карта-план территории составляется на основе сведений ЕГРН об определенной территории, на которой выполняются комплексные кадастровые работы (кадастровых планов территории). В случае если при выполнении комплексных кадастровых работ обеспечивается образование земельных участков, сведения об образуемых земельных участках (кроме описания местоположения границ таких земельных участков и их площади) включаются в карту-план территории с учетом сведений утвержденного в установленном законодательством о градостроительной деятельности порядке проекта межевания территории соответствующего элемента. </w:t>
      </w:r>
      <w:r>
        <w:rPr>
          <w:rFonts w:eastAsia="Tinos" w:cs="Tinos" w:ascii="PT Astra Serif" w:hAnsi="PT Astra Serif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lang w:val="ru-RU" w:eastAsia="zh-CN" w:bidi="ar-SA"/>
        </w:rPr>
        <w:t xml:space="preserve">Если карта-план территории составлялась с использованием утвержденного в установленном законодательством о градостроительной деятельности порядке проекта межевания территории, который в установленном </w:t>
      </w:r>
      <w:r>
        <w:rPr>
          <w:rFonts w:eastAsia="Tinos" w:cs="Tinos" w:ascii="PT Astra Serif" w:hAnsi="PT Astra 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6"/>
          <w:szCs w:val="26"/>
          <w:u w:val="none"/>
          <w:lang w:val="ru-RU" w:eastAsia="zh-CN" w:bidi="ar-SA"/>
        </w:rPr>
        <w:t>статьей 32</w:t>
      </w:r>
      <w:r>
        <w:rPr>
          <w:rFonts w:eastAsia="Tinos" w:cs="Tinos" w:ascii="PT Astra Serif" w:hAnsi="PT Astra Serif"/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lang w:val="ru-RU" w:eastAsia="zh-CN" w:bidi="ar-SA"/>
        </w:rPr>
        <w:t xml:space="preserve"> Федерального закона N 218-ФЗ порядке не направлялся в орган регистрации прав, такой документ или его копия включается в Приложение.  В КПТР представлена графическая часть проекта межевания территории, таким образом проверить семантические сведения не представляется возможным.</w:t>
      </w:r>
    </w:p>
    <w:p>
      <w:pPr>
        <w:pStyle w:val="Style18"/>
        <w:jc w:val="both"/>
        <w:rPr>
          <w:rFonts w:ascii="PT Astra Serif" w:hAnsi="PT Astra Serif"/>
          <w:b w:val="false"/>
          <w:bCs w:val="false"/>
          <w:i w:val="false"/>
          <w:i w:val="false"/>
          <w:caps w:val="false"/>
          <w:smallCaps w:val="false"/>
          <w:color w:val="1D4A66"/>
          <w:spacing w:val="0"/>
          <w:sz w:val="26"/>
          <w:szCs w:val="26"/>
        </w:rPr>
      </w:pPr>
      <w:r>
        <w:rPr>
          <w:rFonts w:ascii="PT Astra Serif" w:hAnsi="PT Astra Serif"/>
          <w:b w:val="false"/>
          <w:bCs w:val="false"/>
          <w:i w:val="false"/>
          <w:caps w:val="false"/>
          <w:smallCaps w:val="false"/>
          <w:color w:val="1D4A66"/>
          <w:spacing w:val="0"/>
          <w:sz w:val="26"/>
          <w:szCs w:val="26"/>
        </w:rPr>
      </w:r>
    </w:p>
    <w:p>
      <w:pPr>
        <w:pStyle w:val="Style18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eastAsia="PT Astra Serif" w:cs="PT Astra Serif" w:ascii="PT Astra Serif" w:hAnsi="PT Astra Serif"/>
          <w:b/>
          <w:bCs/>
          <w:color w:val="000000"/>
          <w:kern w:val="0"/>
          <w:sz w:val="28"/>
          <w:szCs w:val="28"/>
          <w:lang w:val="ru-RU" w:eastAsia="zh-CN" w:bidi="ar-SA"/>
        </w:rPr>
        <w:t>Выявленные замечания к содержанию КПТР по ЗУ:</w:t>
      </w:r>
    </w:p>
    <w:p>
      <w:pPr>
        <w:pStyle w:val="Style18"/>
        <w:jc w:val="both"/>
        <w:rPr>
          <w:rFonts w:ascii="PT Astra Serif" w:hAnsi="PT Astra Serif"/>
          <w:b w:val="false"/>
          <w:i w:val="false"/>
          <w:i w:val="false"/>
          <w:caps w:val="false"/>
          <w:smallCaps w:val="false"/>
          <w:color w:val="333333"/>
          <w:spacing w:val="0"/>
          <w:sz w:val="26"/>
          <w:szCs w:val="26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333333"/>
          <w:spacing w:val="0"/>
          <w:sz w:val="26"/>
          <w:szCs w:val="26"/>
        </w:rPr>
        <w:t>Образующийся Земельный участок :ЗУ4 ЗУ не полностью входит в границы территориальной зоны Территориальные зоны с номером 86:17-7.10 - 0.10 кв.м. (необходимо подкорректировать границы или получить письмо в администрации о допущенной реестровой ошибке в тер. зоне)</w:t>
      </w:r>
    </w:p>
    <w:p>
      <w:pPr>
        <w:pStyle w:val="Style18"/>
        <w:jc w:val="both"/>
        <w:rPr>
          <w:rFonts w:ascii="PT Astra Serif" w:hAnsi="PT Astra Serif"/>
          <w:b w:val="false"/>
          <w:i w:val="false"/>
          <w:i w:val="false"/>
          <w:caps w:val="false"/>
          <w:smallCaps w:val="false"/>
          <w:color w:val="333333"/>
          <w:spacing w:val="0"/>
          <w:sz w:val="26"/>
          <w:szCs w:val="26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333333"/>
          <w:spacing w:val="0"/>
          <w:sz w:val="26"/>
          <w:szCs w:val="26"/>
        </w:rPr>
      </w:r>
    </w:p>
    <w:p>
      <w:pPr>
        <w:pStyle w:val="Style18"/>
        <w:jc w:val="both"/>
        <w:rPr>
          <w:rFonts w:ascii="PT Astra Serif" w:hAnsi="PT Astra Serif"/>
          <w:b w:val="false"/>
          <w:i w:val="false"/>
          <w:i w:val="false"/>
          <w:caps w:val="false"/>
          <w:smallCaps w:val="false"/>
          <w:color w:val="333333"/>
          <w:spacing w:val="0"/>
          <w:sz w:val="26"/>
          <w:szCs w:val="26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333333"/>
          <w:spacing w:val="0"/>
          <w:sz w:val="26"/>
          <w:szCs w:val="26"/>
        </w:rPr>
        <w:t>Образующийся Земельный участок :ЗУ5 ЗУ не полностью входит в границы территориальной зоны Территориальные зоны с номером 86:17-7.10 - 143.74 кв.м. (необходимо подкорректировать границы или получить письмо в администрации о допущенной реестровой ошибке в тер. зоне)</w:t>
      </w:r>
    </w:p>
    <w:p>
      <w:pPr>
        <w:pStyle w:val="Style18"/>
        <w:jc w:val="both"/>
        <w:rPr>
          <w:rFonts w:ascii="PT Astra Serif" w:hAnsi="PT Astra Serif"/>
          <w:b w:val="false"/>
          <w:i w:val="false"/>
          <w:i w:val="false"/>
          <w:caps w:val="false"/>
          <w:smallCaps w:val="false"/>
          <w:color w:val="333333"/>
          <w:spacing w:val="0"/>
          <w:sz w:val="26"/>
          <w:szCs w:val="26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333333"/>
          <w:spacing w:val="0"/>
          <w:sz w:val="26"/>
          <w:szCs w:val="26"/>
        </w:rPr>
      </w:r>
    </w:p>
    <w:p>
      <w:pPr>
        <w:pStyle w:val="Style18"/>
        <w:jc w:val="both"/>
        <w:rPr>
          <w:rFonts w:ascii="PT Astra Serif" w:hAnsi="PT Astra Serif"/>
          <w:b w:val="false"/>
          <w:i w:val="false"/>
          <w:i w:val="false"/>
          <w:caps w:val="false"/>
          <w:smallCaps w:val="false"/>
          <w:color w:val="333333"/>
          <w:spacing w:val="0"/>
          <w:sz w:val="26"/>
          <w:szCs w:val="26"/>
        </w:rPr>
      </w:pPr>
      <w:r>
        <w:rPr>
          <w:rFonts w:ascii="PT Astra Serif" w:hAnsi="PT Astra Serif"/>
          <w:b w:val="false"/>
          <w:i w:val="false"/>
          <w:caps w:val="false"/>
          <w:smallCaps w:val="false"/>
          <w:color w:val="333333"/>
          <w:spacing w:val="0"/>
          <w:sz w:val="26"/>
          <w:szCs w:val="26"/>
        </w:rPr>
        <w:t>Образующийся Земельный участок :ЗУ8 ЗУ не полностью входит в границы территориальной зоны Территориальные зоны с номером 86:17-7.10 - 0.51 кв.м. (необходимо подкорректировать границы или получить письмо в администрации о допущенной реестровой ошибке в тер. зоне)</w:t>
      </w:r>
    </w:p>
    <w:p>
      <w:pPr>
        <w:pStyle w:val="Style18"/>
        <w:jc w:val="both"/>
        <w:rPr>
          <w:rFonts w:eastAsia="PT Astra Serif" w:cs="PT Astra Serif"/>
          <w:b w:val="false"/>
          <w:bCs/>
          <w:i w:val="false"/>
          <w:i w:val="false"/>
          <w:kern w:val="0"/>
          <w:lang w:val="ru-RU" w:eastAsia="zh-CN" w:bidi="ar-SA"/>
        </w:rPr>
      </w:pPr>
      <w:r>
        <w:rPr>
          <w:rFonts w:eastAsia="PT Astra Serif" w:cs="PT Astra Serif"/>
          <w:b w:val="false"/>
          <w:bCs/>
          <w:i w:val="false"/>
          <w:kern w:val="0"/>
          <w:lang w:val="ru-RU" w:eastAsia="zh-CN" w:bidi="ar-SA"/>
        </w:rPr>
      </w:r>
    </w:p>
    <w:p>
      <w:pPr>
        <w:pStyle w:val="BodyText"/>
        <w:spacing w:before="0" w:after="140"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276" w:right="709" w:gutter="0" w:header="709" w:top="766" w:footer="0" w:bottom="56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Calibr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Tinos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WW8Num1z0">
    <w:name w:val="WW8Num1z0"/>
    <w:qFormat/>
    <w:rPr>
      <w:rFonts w:ascii="Symbol" w:hAnsi="Symbol" w:cs="OpenSymbol"/>
    </w:rPr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Times New Roman" w:hAnsi="Times New Roman" w:cs="Times New Roman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Times New Roman" w:hAnsi="Times New Roman" w:cs="Times New Roman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2z0">
    <w:name w:val="WW8Num12z0"/>
    <w:qFormat/>
    <w:rPr/>
  </w:style>
  <w:style w:type="character" w:styleId="WW8Num13z0">
    <w:name w:val="WW8Num13z0"/>
    <w:qFormat/>
    <w:rPr>
      <w:rFonts w:ascii="Times New Roman" w:hAnsi="Times New Roman" w:cs="Times New Roman"/>
    </w:rPr>
  </w:style>
  <w:style w:type="character" w:styleId="Style7">
    <w:name w:val="Основной шрифт абзаца"/>
    <w:qFormat/>
    <w:rPr/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Style7"/>
    <w:rPr/>
  </w:style>
  <w:style w:type="character" w:styleId="st">
    <w:name w:val="st"/>
    <w:basedOn w:val="Style7"/>
    <w:qFormat/>
    <w:rPr/>
  </w:style>
  <w:style w:type="character" w:styleId="Emphasis">
    <w:name w:val="Emphasis"/>
    <w:qFormat/>
    <w:rPr>
      <w:i/>
      <w:iCs/>
    </w:rPr>
  </w:style>
  <w:style w:type="character" w:styleId="apple-converted-space">
    <w:name w:val="apple-converted-space"/>
    <w:qFormat/>
    <w:rPr/>
  </w:style>
  <w:style w:type="character" w:styleId="Style8">
    <w:name w:val="Без интервала Знак"/>
    <w:qFormat/>
    <w:rPr>
      <w:rFonts w:ascii="Calibri" w:hAnsi="Calibri" w:cs="Calibri"/>
      <w:sz w:val="22"/>
      <w:szCs w:val="22"/>
    </w:rPr>
  </w:style>
  <w:style w:type="character" w:styleId="Style9">
    <w:name w:val="Знак примечания"/>
    <w:qFormat/>
    <w:rPr>
      <w:sz w:val="16"/>
      <w:szCs w:val="16"/>
    </w:rPr>
  </w:style>
  <w:style w:type="character" w:styleId="Style10">
    <w:name w:val="Текст примечания Знак"/>
    <w:basedOn w:val="Style7"/>
    <w:qFormat/>
    <w:rPr/>
  </w:style>
  <w:style w:type="character" w:styleId="Style11">
    <w:name w:val="Тема примечания Знак"/>
    <w:qFormat/>
    <w:rPr>
      <w:b/>
      <w:bCs/>
    </w:rPr>
  </w:style>
  <w:style w:type="character" w:styleId="4">
    <w:name w:val="Основной текст (4)_"/>
    <w:qFormat/>
    <w:rPr>
      <w:b/>
      <w:bCs/>
      <w:sz w:val="21"/>
      <w:szCs w:val="21"/>
      <w:shd w:fill="FFFFFF" w:val="clear"/>
    </w:rPr>
  </w:style>
  <w:style w:type="character" w:styleId="Hyperlink">
    <w:name w:val="Hyperlink"/>
    <w:rPr>
      <w:color w:val="000080"/>
      <w:u w:val="single"/>
    </w:rPr>
  </w:style>
  <w:style w:type="character" w:styleId="Style12">
    <w:name w:val="Символ нумерации"/>
    <w:qFormat/>
    <w:rPr/>
  </w:style>
  <w:style w:type="character" w:styleId="Style13">
    <w:name w:val="Маркеры"/>
    <w:qFormat/>
    <w:rPr>
      <w:rFonts w:ascii="OpenSymbol" w:hAnsi="OpenSymbol" w:eastAsia="OpenSymbol" w:cs="OpenSymbo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4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11111">
    <w:name w:val="Caption11111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111111">
    <w:name w:val="Caption111111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1111111111111111">
    <w:name w:val="Caption111111111111111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">
    <w:name w:val=" Знак1 Знак Знак Знак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Style16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Style1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spacing w:before="0" w:after="120"/>
      <w:ind w:hanging="0" w:left="283" w:right="0"/>
    </w:pPr>
    <w:rPr/>
  </w:style>
  <w:style w:type="paragraph" w:styleId="1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zh-CN" w:bidi="ar-SA"/>
    </w:rPr>
  </w:style>
  <w:style w:type="paragraph" w:styleId="Style18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yle20">
    <w:name w:val="Текст примечания"/>
    <w:basedOn w:val="Normal"/>
    <w:qFormat/>
    <w:pPr/>
    <w:rPr>
      <w:sz w:val="20"/>
      <w:szCs w:val="20"/>
    </w:rPr>
  </w:style>
  <w:style w:type="paragraph" w:styleId="Style21">
    <w:name w:val="Тема примечания"/>
    <w:basedOn w:val="Style20"/>
    <w:qFormat/>
    <w:pPr/>
    <w:rPr>
      <w:b/>
      <w:bCs/>
    </w:rPr>
  </w:style>
  <w:style w:type="paragraph" w:styleId="41">
    <w:name w:val="Основной текст (4)"/>
    <w:basedOn w:val="Normal"/>
    <w:qFormat/>
    <w:pPr>
      <w:widowControl w:val="false"/>
      <w:shd w:val="clear" w:color="auto" w:fill="FFFFFF"/>
      <w:spacing w:lineRule="exact" w:line="274" w:before="480" w:after="0"/>
    </w:pPr>
    <w:rPr>
      <w:b/>
      <w:bCs/>
      <w:sz w:val="21"/>
      <w:szCs w:val="21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24">
    <w:name w:val="Содержимое врезки"/>
    <w:basedOn w:val="Normal"/>
    <w:qFormat/>
    <w:pPr/>
    <w:rPr/>
  </w:style>
  <w:style w:type="numbering" w:styleId="Style25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poz-service-bal-01.prod.egrn:9001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3005</TotalTime>
  <Application>LibreOffice/24.8.4.2$Linux_X86_64 LibreOffice_project/480$Build-2</Application>
  <AppVersion>15.0000</AppVersion>
  <Pages>1</Pages>
  <Words>289</Words>
  <Characters>2010</Characters>
  <CharactersWithSpaces>2289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2023-08-22T12:26:00Z</dcterms:created>
  <dc:creator>Kudryavtseva</dc:creator>
  <dc:description/>
  <dc:language>ru-RU</dc:language>
  <cp:lastModifiedBy/>
  <cp:lastPrinted>2025-06-18T14:34:16Z</cp:lastPrinted>
  <dcterms:modified xsi:type="dcterms:W3CDTF">2025-11-15T14:14:51Z</dcterms:modified>
  <cp:revision>297</cp:revision>
  <dc:subject/>
  <dc:title>В 2012 году в Управлении были внедрены инновационные методы взаимодействия с заявителями, ориентированные на повышение качества и доступности предоставляемых населению услуг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